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0A" w:rsidRDefault="00935E0A" w:rsidP="00935E0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C47D5">
        <w:rPr>
          <w:rFonts w:ascii="Times New Roman" w:hAnsi="Times New Roman"/>
          <w:sz w:val="24"/>
          <w:szCs w:val="24"/>
        </w:rPr>
        <w:t xml:space="preserve"> «УТВЕРЖДЕНО»</w:t>
      </w:r>
    </w:p>
    <w:p w:rsidR="00935E0A" w:rsidRPr="00133EA1" w:rsidRDefault="00935E0A" w:rsidP="00935E0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Приказом № ___от  «___»________20___</w:t>
      </w:r>
      <w:r w:rsidRPr="006C47D5">
        <w:rPr>
          <w:rFonts w:ascii="Times New Roman" w:hAnsi="Times New Roman"/>
          <w:sz w:val="24"/>
          <w:szCs w:val="24"/>
        </w:rPr>
        <w:t>г.</w:t>
      </w:r>
      <w:r w:rsidRPr="006C47D5">
        <w:rPr>
          <w:rFonts w:ascii="Times New Roman" w:hAnsi="Times New Roman"/>
          <w:sz w:val="24"/>
          <w:szCs w:val="24"/>
        </w:rPr>
        <w:br/>
      </w:r>
    </w:p>
    <w:p w:rsidR="00935E0A" w:rsidRDefault="00935E0A" w:rsidP="00D501F8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30F" w:rsidRPr="00935E0A" w:rsidRDefault="005A030F" w:rsidP="00D501F8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СОВЕТЕ ПО ПИТАНИЮ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I. Общие положения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является общественным органом, который возглавляет и коо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динирует все направления по организации питания детей.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собирается в соответствии с планом работы и по мере необх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димости.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совета на каждый учебный год до 1 сентября утверждается приказом рук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учреждения образования.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совета могут быть включены члены администрации, руководители мет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дических структур, учителя, преподаватели, воспитатели, психолог, социальный педагог, медицинские работники, представители родительской общественности, ученического с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моуправления, профсоюзного комитета, работники столовой учреждения образования или предприятия организующего питание детей.</w:t>
      </w:r>
    </w:p>
    <w:p w:rsidR="005A030F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Советом осу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заместитель директора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или воспитательной работе.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501F8" w:rsidRPr="00935E0A" w:rsidRDefault="005A030F" w:rsidP="00D501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II. Цели и задачи работы Совета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работы Совета по питанию – создание условий, обеспечивающих полноценное питание детей, как основного фактора охраны их здоровья.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Практическими задачами работы Совета являются: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норм и правил организации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потребности в заботе о правильном режиме и сбалансированн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своего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культуры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новых форм организации питания учащихся и увеличение охвата учащихся горячим питанием;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и информирование руководителя учреждения образов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проблемных вопросах по организации питания детей, для принятия мер по их устр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столовой.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501F8" w:rsidRPr="00935E0A" w:rsidRDefault="005A030F" w:rsidP="00D501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III. Основные направления работ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составление плана работы на учебный год с учетом анализа име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проблем и перспективы совершенствования вопросов питания учащихся.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(не реже 1 раза в месяц) заседаний Совета для рассмотрения заплан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вопросов и решения возникших проблем с приглашением ответственных лиц и специалистов.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режима работы столовой, разработка графиков приема пищи каждым классом, согласование их с заведующим производством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(поваром)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представление на утверждение руководителю учреждения образования.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вместе с администрацией граф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дежурства учащихся по столо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и графика контроля питания родительскими комитетами классов.</w:t>
      </w:r>
    </w:p>
    <w:p w:rsidR="00D501F8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диетическим питанием детей, имеющих медицинские показания.</w:t>
      </w:r>
    </w:p>
    <w:p w:rsidR="00935E0A" w:rsidRPr="00935E0A" w:rsidRDefault="00935E0A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льготным питанием детей, в соответствии с постановлениями, расп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ряжениями, приказами.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разъяснительной работы среди учащихся и родителей по увеличению охвата горячим питанием.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разъяснительной работы по пропаганде здорового образа жизни, по воспитанию культуры питания среди учащихся и родителей, рациональных основ пит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 привлечением к этой работе специалистов.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анкетирования среди учащихся 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родителей по изучению спро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на горячее питание, буфетную продукцию, рассмотрение и принятие  их предложений по улучшению качества питания.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наглядной агитации по выработке навыков культуры питания и зд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образа жизни.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внедрению прогрессивных форм обслуживания в столовой.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смотров – конкурсов, рейдовых проверок организации и качества п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 детей.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соблюдения учащимися графика посещения столовой, выполнения дежурными функциональных обязанностей в ходе дежурства в столовой, к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ведения документации.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соблюдения санитарно-гигиенических норм и правил на всех этапах процесса организации питания учащихся.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развитию материальной базы столовой.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Заслушивание итогов работы ответственных за совершенствование процесса орг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и качества питания учащихся и внесение предложений по поощрению за дост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высоких результатов</w:t>
      </w:r>
      <w:r w:rsidR="00D501F8"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1F8" w:rsidRPr="00935E0A" w:rsidRDefault="00D501F8" w:rsidP="00D501F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IV. Ведение документации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ведет следующую документацию: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Совета на учебный год;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Совета;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работе Совета с анализом состояния организации и качества питания уч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школы и предложениями по их улучшению;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по проверке организации питания, карточки (чек-листы) анализа организации пит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детей;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по организации процесса питания и контроля за ними;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контроля за денежными потоками и мониторинга охвата питанием уч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 месяц;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разработки, памятки и рекомендации для педагогов, учащихся и 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</w:t>
      </w:r>
    </w:p>
    <w:p w:rsidR="005A030F" w:rsidRPr="00935E0A" w:rsidRDefault="005A030F" w:rsidP="005A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C708DE" w:rsidRP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08DE">
        <w:rPr>
          <w:rFonts w:ascii="Times New Roman" w:hAnsi="Times New Roman"/>
          <w:sz w:val="28"/>
          <w:szCs w:val="28"/>
        </w:rPr>
        <w:lastRenderedPageBreak/>
        <w:t xml:space="preserve">Рекомендовано к принятию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4556">
        <w:rPr>
          <w:rFonts w:ascii="Times New Roman" w:hAnsi="Times New Roman"/>
          <w:sz w:val="28"/>
          <w:szCs w:val="28"/>
        </w:rPr>
        <w:t xml:space="preserve"> </w:t>
      </w:r>
      <w:r w:rsidRPr="00C708DE">
        <w:rPr>
          <w:rFonts w:ascii="Times New Roman" w:hAnsi="Times New Roman"/>
          <w:sz w:val="28"/>
          <w:szCs w:val="28"/>
        </w:rPr>
        <w:t xml:space="preserve">                  «УТВЕРЖДЕНО»</w:t>
      </w:r>
    </w:p>
    <w:p w:rsidR="00C708DE" w:rsidRP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08DE">
        <w:rPr>
          <w:rFonts w:ascii="Times New Roman" w:hAnsi="Times New Roman"/>
          <w:sz w:val="28"/>
          <w:szCs w:val="28"/>
        </w:rPr>
        <w:t xml:space="preserve">советом по питанию           </w:t>
      </w:r>
      <w:r w:rsidR="00B7455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70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8057B">
        <w:rPr>
          <w:rFonts w:ascii="Times New Roman" w:hAnsi="Times New Roman"/>
          <w:sz w:val="28"/>
          <w:szCs w:val="28"/>
        </w:rPr>
        <w:t xml:space="preserve"> Директор _______________</w:t>
      </w:r>
    </w:p>
    <w:p w:rsid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08DE"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 w:rsidRPr="00C708DE">
        <w:rPr>
          <w:rFonts w:ascii="Times New Roman" w:hAnsi="Times New Roman"/>
          <w:sz w:val="28"/>
          <w:szCs w:val="28"/>
        </w:rPr>
        <w:t>от</w:t>
      </w:r>
      <w:proofErr w:type="gramEnd"/>
      <w:r w:rsidRPr="00C708DE">
        <w:rPr>
          <w:rFonts w:ascii="Times New Roman" w:hAnsi="Times New Roman"/>
          <w:sz w:val="28"/>
          <w:szCs w:val="28"/>
        </w:rPr>
        <w:t xml:space="preserve"> _______ № _</w:t>
      </w:r>
      <w:r>
        <w:rPr>
          <w:rFonts w:ascii="Times New Roman" w:hAnsi="Times New Roman"/>
          <w:sz w:val="28"/>
          <w:szCs w:val="28"/>
        </w:rPr>
        <w:t>___</w:t>
      </w:r>
      <w:r w:rsidR="00B7455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8057B">
        <w:rPr>
          <w:rFonts w:ascii="Times New Roman" w:hAnsi="Times New Roman"/>
          <w:sz w:val="28"/>
          <w:szCs w:val="28"/>
        </w:rPr>
        <w:t xml:space="preserve">    </w:t>
      </w:r>
    </w:p>
    <w:p w:rsidR="00C708DE" w:rsidRDefault="00C708DE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08DE" w:rsidRDefault="00C708DE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Совета школы по питанию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935E0A"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8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F8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 </w:t>
      </w:r>
      <w:r w:rsidR="00935E0A"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F8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5E0A"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8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F8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 </w:t>
      </w: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700"/>
        <w:gridCol w:w="1843"/>
        <w:gridCol w:w="2322"/>
      </w:tblGrid>
      <w:tr w:rsidR="00C708DE" w:rsidRPr="00C708DE" w:rsidTr="00C675F2">
        <w:tc>
          <w:tcPr>
            <w:tcW w:w="0" w:type="auto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00" w:type="dxa"/>
          </w:tcPr>
          <w:p w:rsidR="00C708DE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C708DE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22" w:type="dxa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5" w:type="dxa"/>
            <w:gridSpan w:val="3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Организационные мероприятия</w:t>
            </w:r>
          </w:p>
        </w:tc>
      </w:tr>
      <w:tr w:rsidR="001137D0" w:rsidRPr="00C708DE" w:rsidTr="00C675F2">
        <w:tc>
          <w:tcPr>
            <w:tcW w:w="0" w:type="auto"/>
          </w:tcPr>
          <w:p w:rsidR="001137D0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00" w:type="dxa"/>
          </w:tcPr>
          <w:p w:rsidR="001137D0" w:rsidRPr="00C708DE" w:rsidRDefault="001137D0" w:rsidP="00F854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плана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школы по питанию на 20</w:t>
            </w:r>
            <w:r w:rsidR="0008057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08057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  <w:vAlign w:val="center"/>
          </w:tcPr>
          <w:p w:rsidR="001137D0" w:rsidRPr="00C708DE" w:rsidRDefault="00FC6F74" w:rsidP="00FC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2" w:type="dxa"/>
          </w:tcPr>
          <w:p w:rsidR="001137D0" w:rsidRPr="00C708DE" w:rsidRDefault="001137D0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00" w:type="dxa"/>
          </w:tcPr>
          <w:p w:rsidR="00F8542B" w:rsidRDefault="00FF760B" w:rsidP="00F85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084">
              <w:rPr>
                <w:rFonts w:ascii="Times New Roman" w:hAnsi="Times New Roman"/>
                <w:sz w:val="28"/>
                <w:szCs w:val="28"/>
              </w:rPr>
              <w:t>Организация питания учащихся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760B" w:rsidRPr="00C708DE" w:rsidRDefault="00FF760B" w:rsidP="00F854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>на 20</w:t>
            </w:r>
            <w:r w:rsidR="0008057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>__ - 20</w:t>
            </w:r>
            <w:r w:rsidR="0008057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F8542B"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308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vAlign w:val="center"/>
          </w:tcPr>
          <w:p w:rsidR="00FF760B" w:rsidRDefault="00FF760B" w:rsidP="00FC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списков учащихся имеющих право на получение бе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платного и льготного питания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дополнительного пит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ния в общеобразовательных учр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ждениях и мерах по его обеспечению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00" w:type="dxa"/>
          </w:tcPr>
          <w:p w:rsidR="00FF760B" w:rsidRPr="00C708DE" w:rsidRDefault="00FF760B" w:rsidP="00113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мер по предупреждению распространения инфекционных з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болеваний 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усилении контроля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приёмом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в образо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вательную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Об усилении контроля выполнения требований санитарного законод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тельства.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режима работы стол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вой, разработка графиков приема пищи каждым классом, согласование их с заведующим производством (поваром) и представление на утверждение руководителю учр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ждения образования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700" w:type="dxa"/>
          </w:tcPr>
          <w:p w:rsidR="00FF760B" w:rsidRPr="00FE763D" w:rsidRDefault="00FF760B" w:rsidP="00FE76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графика дежурства учащихся по столовой и графика контроля питания родительскими комитетами классов.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700" w:type="dxa"/>
          </w:tcPr>
          <w:p w:rsidR="00FF760B" w:rsidRPr="00FE763D" w:rsidRDefault="00FF760B" w:rsidP="00FE76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разъяснительной раб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ты среди учащихся и родителей по увеличению охвата горячим питан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разъяснительной работы по пропаганде здорового образа жизни, по воспитанию культуры п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тания среди учащихся и родителей, рациональных основ питания, с пр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влечением к этой работе специал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стов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анкетирования среди учащихся и их родителей по изуч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нию спроса на горячее питание, б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фетную продукцию, рассмотрение и принятие  их предложений по улу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шению качества питания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наглядной агитации по выработке навыков культуры пит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ния и здорового образа жизни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недели здоровья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конкурса рисунков на тему здоровое питание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700" w:type="dxa"/>
          </w:tcPr>
          <w:p w:rsidR="00FE763D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классного часа на тему «Здоровый образ жизни»</w:t>
            </w:r>
          </w:p>
        </w:tc>
        <w:tc>
          <w:tcPr>
            <w:tcW w:w="1843" w:type="dxa"/>
          </w:tcPr>
          <w:p w:rsidR="00FE763D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5" w:type="dxa"/>
            <w:gridSpan w:val="3"/>
          </w:tcPr>
          <w:p w:rsidR="00FE763D" w:rsidRPr="00C708DE" w:rsidRDefault="00FE763D" w:rsidP="00FE7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2.Контрольные мероприятия</w:t>
            </w:r>
          </w:p>
        </w:tc>
      </w:tr>
      <w:tr w:rsidR="00B74556" w:rsidRPr="00C708DE" w:rsidTr="00C675F2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00" w:type="dxa"/>
          </w:tcPr>
          <w:p w:rsidR="00B74556" w:rsidRDefault="00B74556" w:rsidP="00B745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контроля соблюд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ния учащимися графика посещения столовой, выполнения дежурными функциональных обязанностей в х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де дежурства в столовой</w:t>
            </w:r>
          </w:p>
        </w:tc>
        <w:tc>
          <w:tcPr>
            <w:tcW w:w="1843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4556" w:rsidRPr="00C708DE" w:rsidTr="00C675F2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00" w:type="dxa"/>
          </w:tcPr>
          <w:p w:rsidR="00B74556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соблюдения санитарно-гигиенических норм и правил на всех этапах процесса организации питания учащихся</w:t>
            </w:r>
          </w:p>
        </w:tc>
        <w:tc>
          <w:tcPr>
            <w:tcW w:w="1843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00" w:type="dxa"/>
          </w:tcPr>
          <w:p w:rsidR="00FE763D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над ведением номенкл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турной документации по пищеблоку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00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над закладкой основных продуктов и выхода готовых блюд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бракеражная</w:t>
            </w:r>
            <w:proofErr w:type="spellEnd"/>
          </w:p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комиссия</w:t>
            </w: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00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за сроками реализации продовольственного сырья и пищ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вых продуктов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бракеражная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E763D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комиссия</w:t>
            </w: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00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соблюдения требований санитарного законодательства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700" w:type="dxa"/>
          </w:tcPr>
          <w:p w:rsidR="00FE763D" w:rsidRPr="00C708DE" w:rsidRDefault="00FE763D" w:rsidP="006316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над выполнением нат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ральных норм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 2 четверть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. Анализ охвата учащихся горячим пи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танием </w:t>
            </w:r>
          </w:p>
        </w:tc>
        <w:tc>
          <w:tcPr>
            <w:tcW w:w="1843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700" w:type="dxa"/>
          </w:tcPr>
          <w:p w:rsidR="00FE763D" w:rsidRPr="00C708DE" w:rsidRDefault="00FE763D" w:rsidP="00C675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  <w:r w:rsidR="00C675F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соблюдением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приме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ного меню</w:t>
            </w:r>
          </w:p>
        </w:tc>
        <w:tc>
          <w:tcPr>
            <w:tcW w:w="1843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700" w:type="dxa"/>
          </w:tcPr>
          <w:p w:rsidR="00FE763D" w:rsidRPr="00C708DE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достоверностью инфо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мации для потребителя (меню дня)</w:t>
            </w:r>
          </w:p>
        </w:tc>
        <w:tc>
          <w:tcPr>
            <w:tcW w:w="1843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5" w:type="dxa"/>
            <w:gridSpan w:val="3"/>
          </w:tcPr>
          <w:p w:rsidR="00FE763D" w:rsidRPr="00C708DE" w:rsidRDefault="00FE763D" w:rsidP="00FE7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Аналитика</w:t>
            </w:r>
          </w:p>
        </w:tc>
      </w:tr>
      <w:tr w:rsidR="00B74556" w:rsidRPr="00C708DE" w:rsidTr="00C675F2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700" w:type="dxa"/>
          </w:tcPr>
          <w:p w:rsidR="00B74556" w:rsidRPr="00C708DE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1843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22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конкурса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анкетирования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проведенных классных 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сов, родительских собраний и т.д.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Анализ охвата учащихся горячим питанием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Анализ нарушений требований сан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тарного законодательства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организации п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тания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Подведение итогов.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A030F" w:rsidRPr="00935E0A" w:rsidRDefault="005A030F" w:rsidP="00C708DE">
      <w:pPr>
        <w:spacing w:after="0"/>
      </w:pPr>
    </w:p>
    <w:sectPr w:rsidR="005A030F" w:rsidRPr="00935E0A" w:rsidSect="00B7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C34"/>
    <w:multiLevelType w:val="multilevel"/>
    <w:tmpl w:val="EA40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40F56"/>
    <w:multiLevelType w:val="multilevel"/>
    <w:tmpl w:val="2536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10AA1"/>
    <w:multiLevelType w:val="multilevel"/>
    <w:tmpl w:val="0796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2"/>
    <w:lvlOverride w:ilvl="0">
      <w:startOverride w:val="3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3"/>
    </w:lvlOverride>
  </w:num>
  <w:num w:numId="11">
    <w:abstractNumId w:val="2"/>
    <w:lvlOverride w:ilvl="0">
      <w:startOverride w:val="3"/>
    </w:lvlOverride>
  </w:num>
  <w:num w:numId="12">
    <w:abstractNumId w:val="2"/>
    <w:lvlOverride w:ilvl="0">
      <w:startOverride w:val="3"/>
    </w:lvlOverride>
  </w:num>
  <w:num w:numId="13">
    <w:abstractNumId w:val="2"/>
    <w:lvlOverride w:ilvl="0">
      <w:startOverride w:val="3"/>
    </w:lvlOverride>
  </w:num>
  <w:num w:numId="14">
    <w:abstractNumId w:val="2"/>
    <w:lvlOverride w:ilvl="0">
      <w:startOverride w:val="3"/>
    </w:lvlOverride>
  </w:num>
  <w:num w:numId="15">
    <w:abstractNumId w:val="2"/>
    <w:lvlOverride w:ilvl="0">
      <w:startOverride w:val="3"/>
    </w:lvlOverride>
  </w:num>
  <w:num w:numId="16">
    <w:abstractNumId w:val="2"/>
    <w:lvlOverride w:ilvl="0">
      <w:startOverride w:val="3"/>
    </w:lvlOverride>
  </w:num>
  <w:num w:numId="17">
    <w:abstractNumId w:val="2"/>
    <w:lvlOverride w:ilvl="0">
      <w:startOverride w:val="3"/>
    </w:lvlOverride>
  </w:num>
  <w:num w:numId="18">
    <w:abstractNumId w:val="2"/>
    <w:lvlOverride w:ilvl="0">
      <w:startOverride w:val="3"/>
    </w:lvlOverride>
  </w:num>
  <w:num w:numId="19">
    <w:abstractNumId w:val="2"/>
    <w:lvlOverride w:ilvl="0">
      <w:startOverride w:val="3"/>
    </w:lvlOverride>
  </w:num>
  <w:num w:numId="20">
    <w:abstractNumId w:val="2"/>
    <w:lvlOverride w:ilvl="0">
      <w:startOverride w:val="3"/>
    </w:lvlOverride>
  </w:num>
  <w:num w:numId="21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30F"/>
    <w:rsid w:val="00006F8D"/>
    <w:rsid w:val="0008057B"/>
    <w:rsid w:val="001137D0"/>
    <w:rsid w:val="001B21E0"/>
    <w:rsid w:val="005A030F"/>
    <w:rsid w:val="005D2470"/>
    <w:rsid w:val="005E10BC"/>
    <w:rsid w:val="0063166E"/>
    <w:rsid w:val="00714DB8"/>
    <w:rsid w:val="00724FD1"/>
    <w:rsid w:val="008B4EBA"/>
    <w:rsid w:val="00935E0A"/>
    <w:rsid w:val="009864C2"/>
    <w:rsid w:val="009B794E"/>
    <w:rsid w:val="00B74556"/>
    <w:rsid w:val="00C675F2"/>
    <w:rsid w:val="00C708DE"/>
    <w:rsid w:val="00D501F8"/>
    <w:rsid w:val="00DF3CD5"/>
    <w:rsid w:val="00E22C84"/>
    <w:rsid w:val="00F8542B"/>
    <w:rsid w:val="00FC6F74"/>
    <w:rsid w:val="00FE763D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030F"/>
  </w:style>
  <w:style w:type="character" w:styleId="a4">
    <w:name w:val="Strong"/>
    <w:basedOn w:val="a0"/>
    <w:uiPriority w:val="22"/>
    <w:qFormat/>
    <w:rsid w:val="005A03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2018-01-11T04:46:00Z</cp:lastPrinted>
  <dcterms:created xsi:type="dcterms:W3CDTF">2018-01-10T12:34:00Z</dcterms:created>
  <dcterms:modified xsi:type="dcterms:W3CDTF">2021-10-19T05:10:00Z</dcterms:modified>
</cp:coreProperties>
</file>